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天津工业大学</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天津工业大学</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以工为主、多学科专业统筹发展。坚持以德为先、能力为重、全面发展和个性发展相结合的原则，以学生为中心，深化教育教学改革，着力培养胸怀经纬、求真务实、品高学优、工勤业精、具有高度社会责任感、创新精神和实践能力的高素质创新型人才，人才培养质量持续提升。具有较强的科研实力和科技成果转化能力。坚持社会主义办学方向，落实立德树人根本任务，践行为党育人、为国育才重大使命，秉承“教研相长、学能并进”的办学理念，加快建设具有中国特色的“双一流”高水平大学，培养德智体美劳全面发展的社会主义建设者和接班人，为实现中华民族伟大复兴作出新的更大的贡献</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天津工业大学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单位本级（内设综合管理机构27个，教辅机构14个，科研机构1个，教学机构26个）。</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天津工业大学</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732500943.98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400726550.00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1593593968.17</w:t>
            </w: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232922864.71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1101773.05</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277229491.55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54202000.00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31467000.00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90371893.86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397500.00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1046600.00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1733751744.10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1681808841.22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11186901.34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328201329.46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391331133.68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328201329.46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2073139974.90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2073139974.90</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天津工业大学</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1733751744.10</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1133227493.98</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510152356.26</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232922864.71</w:t>
            </w: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90371893.86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1645536871.05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1045012620.93</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510152356.26</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232922864.71</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90371893.86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普通教育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1245207821.05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644683570.93</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510152356.26</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232922864.71</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90371893.86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高等教育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1245207821.05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644683570.93</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510152356.26</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232922864.71</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90371893.86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20598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400329050.00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400329050.00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2059802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高等教育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400329050.00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400329050.00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科学技术支出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1101773.05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1101773.05</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基础研究</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114740.72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114740.72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2060203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自然科学基金</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57969.22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57969.22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2060299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其他基础研究支出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56771.50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56771.50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其他科学技术支出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987032.33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987032.33</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2069999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其他科学技术支出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987032.33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987032.33</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54202000.00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54202000.00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54202000.00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54202000.00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36135000.00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36135000.00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18067000.00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18067000.00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31467000.00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31467000.00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31467000.00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31467000.00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23793000.00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23793000.00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7674000.00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7674000.00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397500.00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397500.00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22960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彩票公益金安排的支出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397500.00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397500.00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2296004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用于教育事业的彩票公益金支出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397500.00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397500.00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1046600.00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1046600.00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1046600.00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1046600.00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1046600.00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1046600.00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天津工业大学</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2073139974.90</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1733751744.10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732500943.98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400726550.00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232922864.71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277229491.55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90371893.86</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330220</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天津工业大学</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2073139974.90</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1733751744.10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732500943.98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400726550.00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232922864.71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277229491.55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90371893.86</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天津工业大学</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339388230.80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339388230.80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339388230.80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330220</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天津工业大学</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339388230.80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339388230.80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339388230.80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天津工业大学</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1681808841.22</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887049492.27</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794759348.95</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教育支出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1593593968.17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801380492.27</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792213475.90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普通教育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1193264918.17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801380492.27</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391884425.90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2050205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高等教育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1193264918.17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801380492.27</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391884425.90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20598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超长期特别国债安排的支出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400329050.00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400329050.00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2059802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高等教育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400329050.00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400329050.00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1101773.05</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1101773.05</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基础研究</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114740.72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114740.72</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自然科学基金</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57969.22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57969.22</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2060299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其他基础研究支出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56771.50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56771.50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987032.33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987032.33</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2069999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987032.33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987032.33</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54202000.00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54202000.00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54202000.00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54202000.00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36135000.00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36135000.00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18067000.00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18067000.00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31467000.00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31467000.00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31467000.00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31467000.00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23793000.00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23793000.00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7674000.00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7674000.00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397500.00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397500.00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22960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彩票公益金安排的支出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397500.00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397500.00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2296004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用于教育事业的彩票公益金支出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397500.00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397500.00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1046600.00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1046600.00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1046600.00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1046600.00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1046600.00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1046600.00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天津工业大学</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732500943.98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400726550.00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1045012620.93</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644683570.93</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400329050.00</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1101773.05</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1101773.05</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54202000.00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54202000.00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31467000.00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31467000.00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397500.00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397500.00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1046600.00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1046600.00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1133227493.98</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1133227493.98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732500943.98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400726550.00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1133227493.98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1133227493.98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732500943.98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400726550.00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天津工业大学</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732500943.98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545552156.00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489787156.00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55765000.00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186948787.98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教育支出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644683570.93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459883156.00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404118156.00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55765000.00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184800414.93</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普通教育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644683570.93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459883156.00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404118156.00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55765000.00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184800414.93</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高等教育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644683570.93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459883156.00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404118156.00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55765000.00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184800414.93</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1101773.05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1101773.05</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基础研究</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114740.72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114740.72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自然科学基金</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57969.22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57969.22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其他基础研究支出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56771.50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56771.50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987032.33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987032.33</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987032.33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987032.33</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54202000.00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54202000.00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54202000.00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54202000.00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54202000.00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54202000.00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36135000.00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36135000.00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36135000.00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18067000.00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18067000.00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18067000.00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31467000.00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31467000.00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31467000.00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31467000.00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31467000.00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31467000.00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23793000.00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23793000.00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23793000.00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7674000.00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7674000.00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7674000.00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1046600.00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1046600.00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1046600.00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1046600.00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地方政府一般债券付息支出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1046600.00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1046600.00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天津工业大学</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473034000.00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55765000.00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105000000.00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45000000.00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7850000.00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131341000.00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11000000.00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36135000.00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2100000.00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18067000.00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23793000.00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12520000.00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111000000.00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2698000.00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16753156.00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810000.00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10967156.00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12000000.00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4976000.00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3345000.00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489787156.00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55765000.00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天津工业大学</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400726550.00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400726550.00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400726550.00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教育支出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400329050.00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400329050.00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400329050.00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20598</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超长期特别国债安排的支出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400329050.00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400329050.00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400329050.00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2059802</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高等教育</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400329050.00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400329050.00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400329050.00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22960</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彩票公益金安排的支出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2296004</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用于教育事业的彩票公益金支出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天津工业大学</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天津工业大学2025年度国有资本经营预算财政拨款收入支出决算表为空表。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天津工业大学</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150000.00</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120000.00</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120000.00</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30000.00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天津工业大学</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794759348.95</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186948787.98</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400726550.00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207084010.97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792213475.90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184800414.93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400329050.00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207084010.97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普通教育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391884425.90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184800414.93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207084010.97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高等教育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391884425.90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184800414.93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207084010.97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高等教育公共数字资源购置及平台建设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6714198.00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6714198.00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支持教育事业发展-高等教育公共数字资源购置及平台建设（2025年）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国家有关计划专家个人所得税优惠补贴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178955.15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178955.15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基础教育综合改革国家实验区建设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教育类项目-各类校舍维修（天津工业大学）</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3135000.00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3135000.00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支持教育事业发展-各类学校校舍维修（2025年）(天津工业大学）</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572900.00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572900.00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天津高校青年教师科研创新能力支持项目（U40项目）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天津市高校教师党支部书记“赋能拔尖”培育计划</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天津市普通高等学校本科教育教学审核评估</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182500.00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182500.00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天津市外国留学生政府奖学金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2781800.00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2781800.00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学校思想政治工作补助项目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1695000.00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1695000.00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支持教育事业发展-市属高校建设世界一流学科市级补助（天津工业大学）</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支持教育事业发展-天津市高校落实《科教兴市人才强市行动方案》考核引导资金（2025年）（天津工业大学）</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9500000.00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9500000.00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学生资助补助经费-中央专款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24102800.00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24102800.00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学生资助政策体系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65763261.78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65763261.78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支持地方高校改革发展资金-2025年中央专款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39794000.00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39794000.00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自筹科研</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187196458.99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187196458.99</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自筹经费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19887551.98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19887551.98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400329050.00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400329050.00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科学技术支出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1101773.05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1101773.05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基础研究</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114740.72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114740.72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自然科学基金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57969.22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57969.22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2021年度天津市科技计划项目结转资金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57969.22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57969.22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其他基础研究支出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56771.50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56771.50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2022年度天津市科技计划项目结转资金项目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56771.50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56771.50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其他科学技术支出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987032.33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987032.33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其他科学技术支出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987032.33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987032.33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2022年第二批中央引导地方科技发展项目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283397.60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283397.60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天津市科技计划项目结转资金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259085.59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259085.59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天津市科技型企业发展专项资金项目结转资金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439230.61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439230.61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京津冀基础研究合作专项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5318.53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5318.53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22960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彩票公益金安排的支出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2296004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用于教育事业的彩票公益金支出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2296004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中央专项彩票公益金支持大学生创新创业教育项目-2025年中央专款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1046600.00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1046600.00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1046600.00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1046600.00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1046600.00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1046600.00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2025年一般债券利息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1046600.00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1046600.00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天津工业大学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2,073,139,974.90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增加176,794,356.78元，增长9.32%</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2025年财政项目拨款收支增加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一般公共预算财政拨款收入732,500,943.98元、政府性基金预算财政拨款收入400,726,550.00元、财政专户管理资金收入232,922,864.71元、事业收入277,229,491.55元、其他收入90,371,893.86元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教育支出1,593,593,968.17元、科学技术支出1,101,773.05元、社会保障和就业支出54,202,000.00元、卫生健康支出31,467,000.00元、其他支出397,500.00元、债务付息支出1,046,600.00元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天津工业大学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1,733,751,744.10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增加156,493,973.77元，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财政项目拨款收入增加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732,500,943.98元，占42.25%；政府性基金预算财政拨款收入400,726,550.00元，占23.11%；财政专户管理资金收入232,922,864.71元，占13.43%；事业收入277,229,491.55元，占15.99%；其他收入90,371,893.86元，占5.22%</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天津工业大学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1,681,808,841.22</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增加124,204,864.05元，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财政拨款项目支出增加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基本支出887,049,492.27元，占52.74%；项目支出794,759,348.95元，占47.26%</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天津工业大学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1,133,227,493.98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增加81,834,987.55元，增长7.78%，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财政拨款项目收支增加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一般公共预算财政拨款732,500,943.98元、政府性基金预算财政拨款400,726,550.00元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教育支出1,045,012,620.93元、科学技术支出1,101,773.05元、社会保障和就业支出54,202,000.00元、卫生健康支出31,467,000.00元、其他支出397,500.00元、债务付息支出1,046,600.00元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天津工业大学2025年度一般公共预算财政拨款支出合计732,500,943.98元，占本年支出合计的43.55%。与2024年度相比，一般公共预算财政拨款支出</w:t>
      </w:r>
      <w:r>
        <w:rPr>
          <w:rFonts w:eastAsia="仿宋_GB2312" w:hint="eastAsia"/>
          <w:sz w:val="30"/>
          <w:szCs w:val="30"/>
          <w:highlight w:val="none"/>
          <w:lang w:val="en-US" w:eastAsia="zh-CN"/>
        </w:rPr>
        <w:t xml:space="preserve">增加2,641,184.05元</w:t>
      </w:r>
      <w:r>
        <w:rPr>
          <w:rFonts w:eastAsia="仿宋_GB2312" w:hint="eastAsia"/>
          <w:sz w:val="30"/>
          <w:szCs w:val="30"/>
          <w:highlight w:val="none"/>
          <w:lang w:val="en-US" w:eastAsia="zh-CN"/>
        </w:rPr>
        <w:t xml:space="preserve">，增长0.36%</w:t>
      </w:r>
      <w:r>
        <w:rPr>
          <w:rFonts w:eastAsia="仿宋_GB2312" w:hint="eastAsia"/>
          <w:sz w:val="30"/>
          <w:szCs w:val="30"/>
          <w:highlight w:val="none"/>
          <w:lang w:val="en-US" w:eastAsia="zh-CN"/>
        </w:rPr>
        <w:t xml:space="preserve">，主要原因是人员经费增加。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2025年度一般公共预算财政拨款支出732,500,943.98元，主要用于以下方面：</w:t>
      </w:r>
      <w:r>
        <w:rPr>
          <w:rFonts w:eastAsia="仿宋_GB2312" w:hint="eastAsia"/>
          <w:sz w:val="30"/>
          <w:szCs w:val="30"/>
          <w:highlight w:val="none"/>
        </w:rPr>
        <w:t xml:space="preserve">教育支出（类）支出644,683,570.93元，占88.01%，科学技术支出（类）支出1,101,773.05元，占0.15%，社会保障和就业支出（类）支出54,202,000.00元，占7.40%，卫生健康支出（类）支出31,467,000.00元，占4.30%，债务付息支出（类）支出1,046,600.00元，占0.14%</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2025年度一般公共预算财政拨款支出年初预算为693,876,714.05元，支出决算为732,500,943.98元</w:t>
      </w:r>
      <w:r>
        <w:rPr>
          <w:rFonts w:eastAsia="仿宋_GB2312" w:hint="eastAsia"/>
          <w:sz w:val="30"/>
          <w:szCs w:val="30"/>
          <w:highlight w:val="none"/>
          <w:lang w:val="en-US" w:eastAsia="zh-CN"/>
        </w:rPr>
        <w:t xml:space="preserve">，完成年初预算的105.57%</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普通教育（款）高等教育（项）年初预算为605,998,100.00元，支出决算为644,683,570.93元，完成年初预算的106.38%，决算数大于年初预算数的主要原因是：年中追加市属高校建设世界一流学科市级补助和中央财政支持地方高校改革发展资金等项目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2.科学技术支出（类）基础研究（款）自然科学基金（项）年初预算为110,769.22元，支出决算为57,969.22元，完成年初预算的52.33%，决算数小于年初预算数的主要原因是：部分科研项目退回结余经费。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3.科学技术支出（类）基础研究（款）其他基础研究支出（项）年初预算为65,128.00元，支出决算为56,771.50元，完成年初预算的87.17%，决算数小于年初预算数的主要原因是：部分科研项目退回结余经费。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4.科学技术支出（类）其他科学技术支出（款）其他科学技术支出（项）年初预算为987,116.83元，支出决算为987,032.33元，完成年初预算的99.99%，决算数小于年初预算数的主要原因是：部分科研项目退回结余经费。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社会保障和就业支出（类）行政事业单位养老支出（款）机关事业单位基本养老保险缴费支出（项）年初预算为36,135,000.00元，支出决算为36,135,000.00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社会保障和就业支出（类）行政事业单位养老支出（款）机关事业单位职业年金缴费支出（项）年初预算为18,067,000.00元，支出决算为18,067,000.00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7.卫生健康支出（类）行政事业单位医疗（款）事业单位医疗（项）年初预算为23,793,000.00元，支出决算为23,793,000.00元，完成年初预算的100.00%，决算数与年初预算数持平的主要原因是：严格按照预算执行。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卫生健康支出（类）行政事业单位医疗（款）其他行政事业单位医疗支出（项）年初预算为7,674,000.00元，支出决算为7,674,000.00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9.债务付息支出（类）地方政府一般债务付息支出（款）地方政府一般债券付息支出（项）年初预算为1,046,600.00元，支出决算为1,046,600.00元，完成年初预算的100.00%，决算数与年初预算数持平的主要原因是：严格按照预算执行。</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天津工业大学2025年度一般公共预算财政拨款基本支出合计545,552,156.00元，与2024年度相比</w:t>
      </w:r>
      <w:r>
        <w:rPr>
          <w:rFonts w:eastAsia="仿宋_GB2312" w:hint="eastAsia"/>
          <w:sz w:val="30"/>
          <w:szCs w:val="30"/>
          <w:highlight w:val="none"/>
          <w:lang w:val="en-US" w:eastAsia="zh-CN"/>
        </w:rPr>
        <w:t xml:space="preserve">增加4,719,156.00元，</w:t>
      </w:r>
      <w:r>
        <w:rPr>
          <w:rFonts w:eastAsia="仿宋_GB2312" w:hint="eastAsia"/>
          <w:sz w:val="30"/>
          <w:szCs w:val="30"/>
          <w:highlight w:val="none"/>
          <w:lang w:val="en-US" w:eastAsia="zh-CN"/>
        </w:rPr>
        <w:t xml:space="preserve">主要原因是人员经费增加。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人员经费489,787,156.00元，主要包括</w:t>
      </w:r>
      <w:r>
        <w:rPr>
          <w:rFonts w:eastAsia="仿宋_GB2312" w:hint="eastAsia"/>
          <w:sz w:val="30"/>
          <w:szCs w:val="30"/>
          <w:highlight w:val="none"/>
          <w:lang w:val="en-US" w:eastAsia="zh-CN"/>
        </w:rPr>
        <w:t xml:space="preserve">基本工资、津贴补贴、绩效工资、机关事业单位基本养老保险缴费、职业年金缴费、职工基本医疗保险缴费、住房公积金、医疗费、离休费、退休费、医疗费补助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公用经费55,765,000.00元，主要包括</w:t>
      </w:r>
      <w:r>
        <w:rPr>
          <w:rFonts w:eastAsia="仿宋_GB2312" w:hint="eastAsia"/>
          <w:sz w:val="30"/>
          <w:szCs w:val="30"/>
          <w:highlight w:val="none"/>
          <w:lang w:val="en-US" w:eastAsia="zh-CN"/>
        </w:rPr>
        <w:t xml:space="preserve">水费、电费、邮电费、物业管理费、维修(护)费、公务接待费、劳务费、委托业务费、工会经费、公务用车运行维护费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天津工业大学2025年度政府性基金预算财政拨款年初结转和结余0.00元，收入400,726,550.00元，支出400,726,550.00元，年末结转和结余0.00元。与2024年度相比，政府性基金预算财政拨款支出</w:t>
      </w:r>
      <w:r>
        <w:rPr>
          <w:rFonts w:eastAsia="仿宋_GB2312" w:hint="eastAsia"/>
          <w:sz w:val="30"/>
          <w:szCs w:val="30"/>
          <w:highlight w:val="none"/>
          <w:lang w:val="en-US" w:eastAsia="zh-CN"/>
        </w:rPr>
        <w:t xml:space="preserve">增加79,687,903.50元，</w:t>
      </w:r>
      <w:r>
        <w:rPr>
          <w:rFonts w:eastAsia="仿宋_GB2312" w:hint="eastAsia"/>
          <w:sz w:val="30"/>
          <w:szCs w:val="30"/>
          <w:highlight w:val="none"/>
          <w:lang w:val="en-US" w:eastAsia="zh-CN"/>
        </w:rPr>
        <w:t xml:space="preserve">增长24.82%，</w:t>
      </w:r>
      <w:r>
        <w:rPr>
          <w:rFonts w:eastAsia="仿宋_GB2312" w:hint="eastAsia"/>
          <w:sz w:val="30"/>
          <w:szCs w:val="30"/>
          <w:highlight w:val="none"/>
          <w:lang w:val="en-US" w:eastAsia="zh-CN"/>
        </w:rPr>
        <w:t xml:space="preserve">主要原因是基建项目支出增加。</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（二）支出结构情况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2025年度政府性基金预算财政拨款支出400,726,550.00元，主要用于以下方面：</w:t>
      </w:r>
      <w:r>
        <w:rPr>
          <w:rFonts w:eastAsia="仿宋_GB2312" w:hint="eastAsia"/>
          <w:sz w:val="28"/>
          <w:szCs w:val="28"/>
          <w:highlight w:val="none"/>
        </w:rPr>
        <w:t xml:space="preserve">教育支出（类）支出400,329,050.00元，占99.90%，其他支出（类）支出397,500.00元，占0.10%</w:t>
      </w:r>
      <w:r>
        <w:rPr>
          <w:rFonts w:eastAsia="仿宋_GB2312" w:hint="eastAsia"/>
          <w:sz w:val="30"/>
          <w:szCs w:val="30"/>
          <w:highlight w:val="none"/>
          <w:lang w:val="en-US" w:eastAsia="zh-CN"/>
        </w:rPr>
        <w:t xml:space="preserve">。</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2025年度政府性基金预算财政拨款支出年初预算为123,098,800.00元，支出决算为400,726,550.00元</w:t>
      </w:r>
      <w:r>
        <w:rPr>
          <w:rFonts w:eastAsia="仿宋_GB2312" w:hint="eastAsia"/>
          <w:sz w:val="30"/>
          <w:szCs w:val="30"/>
          <w:highlight w:val="none"/>
          <w:lang w:val="en-US" w:eastAsia="zh-CN"/>
        </w:rPr>
        <w:t xml:space="preserve">，完成年初预算的325.53%</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超长期特别国债安排的支出（款）高等教育（项）年初预算为122,711,300.00元，支出决算为400,329,050.00元，完成年初预算的326.24%，决算数大于年初预算数的主要原因是：年中追加设备更新项目和科研设施基本建设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其他支出（类）彩票公益金安排的支出（款）用于教育事业的彩票公益金支出（项）年初预算为387,500.00元，支出决算为397,500.00元，完成年初预算的102.58%，决算数大于年初预算数的主要原因是：年中追加中央专项彩票公益金支持大学生创新创业教育项目。</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天津工业大学2025年度无国有资本经营预算财政拨款收入、支出和结转结余。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150,000.00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150,000.00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支出决算较上年减少60,000.00元</w:t>
      </w:r>
      <w:r>
        <w:rPr>
          <w:rFonts w:eastAsia="仿宋_GB2312" w:hint="eastAsia"/>
          <w:sz w:val="30"/>
          <w:szCs w:val="30"/>
          <w:highlight w:val="none"/>
          <w:lang w:val="en-US" w:eastAsia="zh-CN"/>
        </w:rPr>
        <w:t xml:space="preserve">，下降28.57%</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决算数与预算数持平的主要原因是严格按照预算执行；</w:t>
      </w:r>
      <w:r>
        <w:rPr>
          <w:rFonts w:eastAsia="仿宋_GB2312" w:hint="eastAsia"/>
          <w:sz w:val="30"/>
          <w:szCs w:val="30"/>
          <w:highlight w:val="none"/>
          <w:lang w:val="en-US" w:eastAsia="zh-CN"/>
        </w:rPr>
        <w:t xml:space="preserve">决算数较上年减少的主要原因是厉行节约，压减三公经费支出。</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决算数与预算数持平的主要原因是严格按照预算执行；</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120,000.00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120,000.00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支出决算较上年减少60,000.00元</w:t>
      </w:r>
      <w:r>
        <w:rPr>
          <w:rFonts w:eastAsia="仿宋_GB2312" w:hint="eastAsia"/>
          <w:sz w:val="30"/>
          <w:szCs w:val="30"/>
          <w:highlight w:val="none"/>
          <w:lang w:val="en-US" w:eastAsia="zh-CN"/>
        </w:rPr>
        <w:t xml:space="preserve">，下降33.33%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决算数与预算数持平的主要原因是严格按照预算执行；</w:t>
      </w:r>
      <w:r>
        <w:rPr>
          <w:rFonts w:eastAsia="仿宋_GB2312" w:hint="eastAsia"/>
          <w:sz w:val="30"/>
          <w:szCs w:val="30"/>
          <w:highlight w:val="none"/>
          <w:lang w:val="en-US" w:eastAsia="zh-CN"/>
        </w:rPr>
        <w:t xml:space="preserve">决算数较上年减少的主要原因是厉行节约，进一步压减公务用车购置及运行维护费支出。</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120,000.00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120,000.00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支出决算较上年减少60,000.00元</w:t>
      </w:r>
      <w:r>
        <w:rPr>
          <w:rFonts w:eastAsia="仿宋_GB2312" w:hint="eastAsia"/>
          <w:sz w:val="30"/>
          <w:szCs w:val="30"/>
          <w:highlight w:val="none"/>
          <w:lang w:val="en-US" w:eastAsia="zh-CN"/>
        </w:rPr>
        <w:t xml:space="preserve">，下降33.33%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决算数与预算数持平的主要原因是严格按照预算执行；</w:t>
      </w:r>
      <w:r>
        <w:rPr>
          <w:rFonts w:eastAsia="仿宋_GB2312" w:hint="eastAsia"/>
          <w:sz w:val="30"/>
          <w:szCs w:val="30"/>
          <w:highlight w:val="none"/>
          <w:lang w:val="en-US" w:eastAsia="zh-CN"/>
        </w:rPr>
        <w:t xml:space="preserve">决算数较上年减少的主要原因是厉行节约，进一步压减公务用车运行维护费支出。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22</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决算数与预算数持平的主要原因是严格按照预算执行；</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30,000.00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决算数与预算数持平的主要原因是严格按照预算执行；</w:t>
      </w:r>
      <w:r>
        <w:rPr>
          <w:rFonts w:eastAsia="仿宋_GB2312" w:hint="eastAsia"/>
          <w:sz w:val="30"/>
          <w:szCs w:val="30"/>
          <w:highlight w:val="none"/>
          <w:lang w:val="en-US" w:eastAsia="zh-CN"/>
        </w:rPr>
        <w:t xml:space="preserve">决算数较上年持平的主要原因是厉行节约，严控公务接待费支出。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23</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124</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17</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65</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天津工业大学2025年度无机关运行经费。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工业大学2025年政府采购支出总额538,540,828.56元，其中：政府采购货物支出238,735,397.70元、政府采购工程支出240,494,997.00元、政府采购服务支出59,310,433.86元。授予中小企业合同金额237,634,183.56元，占政府采购支出总额的44.13%，其中：授予小微企业合同金额221,541,334.56元，占政府采购支出总额的41.14%；货物采购授予中小企业合同金额占货物支出金额的77.22%，工程采购授予中小企业合同金额占工程支出金额的1.51%，服务采购授予中小企业合同金额占服务支出金额的83.71%。</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截至2025年12月31日，天津工业大学共有车辆47辆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主要负责人用车2辆、机要通信用车2辆、特种专业技术用车1辆、离退休干部服务用车42辆</w:t>
      </w:r>
      <w:r>
        <w:rPr>
          <w:rFonts w:eastAsia="仿宋_GB2312" w:hint="eastAsia"/>
          <w:sz w:val="30"/>
          <w:szCs w:val="30"/>
          <w:highlight w:val="none"/>
          <w:lang w:val="en-US" w:eastAsia="zh-CN"/>
        </w:rPr>
        <w:t xml:space="preserve">。单价100万元以上的设备223台（套）。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根据预算绩效管理要求，天津工业大学已对19个2025年度市级项目开展绩效自评，涉及金额400,854,053.07元，自评结果已随部门决算一并公开。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天津工业大学不属于乡、镇、街级单位,不涉及公开2025年度教育、医疗卫生、社会保障和就业、住房保障、涉农补贴等民生支出情况。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9EC03264-247F-47B0-945A-E6B5CB7B3024}"/>
    <w:embedBold r:id="rId2" w:subsetted="1" w:fontKey="{381F3986-9388-4A7B-A168-07B2880B06A6}"/>
  </w:font>
  <w:font w:name="Cambria">
    <w:panose1 w:val="02040503050406030204"/>
    <w:charset w:val="00"/>
    <w:family w:val="roman"/>
    <w:pitch w:val="default"/>
    <w:sig w:usb0="E00006FF" w:usb1="420024FF" w:usb2="02000000" w:usb3="00000000" w:csb0="2000019F" w:csb1="00000000"/>
    <w:embedRegular r:id="rId3" w:fontKey="{5AA4FD50-FE93-4827-8531-8C5B87882F8E}"/>
  </w:font>
  <w:font w:name="Calibri">
    <w:panose1 w:val="020F0502020204030204"/>
    <w:charset w:val="00"/>
    <w:family w:val="swiss"/>
    <w:pitch w:val="default"/>
    <w:sig w:usb0="E4002EFF" w:usb1="C200247B" w:usb2="00000009" w:usb3="00000000" w:csb0="200001FF" w:csb1="00000000"/>
    <w:embedRegular r:id="rId4" w:fontKey="{030F7122-6DC4-4992-89EA-6401658C33CE}"/>
  </w:font>
  <w:font w:name="黑体">
    <w:panose1 w:val="02010609060101010101"/>
    <w:charset w:val="FFFFFF86"/>
    <w:family w:val="auto"/>
    <w:pitch w:val="default"/>
    <w:sig w:usb0="800002BF" w:usb1="38CF7CFA" w:usb2="00000016" w:usb3="00000000" w:csb0="00040001" w:csb1="00000000"/>
    <w:embedRegular r:id="rId5" w:subsetted="1" w:fontKey="{3F76AB7D-8A55-493D-8BF7-940CFAC1ADA4}"/>
    <w:embedBold r:id="rId6" w:subsetted="1" w:fontKey="{674767E7-40F4-400D-AB20-0A2249EE55DC}"/>
  </w:font>
  <w:font w:name="方正小标宋简体">
    <w:altName w:val="黑体"/>
    <w:panose1 w:val="02000000000000000000"/>
    <w:charset w:val="FFFFFF86"/>
    <w:family w:val="auto"/>
    <w:pitch w:val="default"/>
    <w:sig w:usb0="00000001" w:usb1="08000000" w:usb2="00000000" w:usb3="00000000" w:csb0="00040000" w:csb1="00000000"/>
    <w:embedRegular r:id="rId7" w:fontKey="{5C2A06F9-8C4A-40BB-AE6F-41ADD500E4CD}"/>
    <w:embedBold r:id="rId8" w:fontKey="{CE1175C5-8625-4B31-8B4D-FB76C220A321}"/>
  </w:font>
  <w:font w:name="仿宋">
    <w:panose1 w:val="02010609060101010101"/>
    <w:charset w:val="FFFFFF86"/>
    <w:family w:val="auto"/>
    <w:pitch w:val="default"/>
    <w:sig w:usb0="800002BF" w:usb1="38CF7CFA" w:usb2="00000016" w:usb3="00000000" w:csb0="00040001" w:csb1="00000000"/>
    <w:embedRegular r:id="rId9" w:subsetted="1" w:fontKey="{5755C526-EAFA-4503-AE55-CB85F55FFBD0}"/>
  </w:font>
  <w:font w:name="方正仿宋_GB2312">
    <w:altName w:val="仿宋"/>
    <w:panose1 w:val="02000000000000000000"/>
    <w:charset w:val="FFFFFF86"/>
    <w:family w:val="auto"/>
    <w:pitch w:val="default"/>
    <w:sig w:usb0="A00002BF" w:usb1="184F6CFA" w:usb2="00000012" w:usb3="00000000" w:csb0="00040001" w:csb1="00000000"/>
    <w:embedRegular r:id="rId10" w:fontKey="{C1517CF8-588A-4D7A-8746-0AC03EB55145}"/>
  </w:font>
  <w:font w:name="仿宋_GB2312">
    <w:altName w:val="仿宋"/>
    <w:panose1 w:val="02010609030101010101"/>
    <w:charset w:val="FFFFFF86"/>
    <w:family w:val="auto"/>
    <w:pitch w:val="default"/>
    <w:sig w:usb0="00000001" w:usb1="080E0000" w:usb2="00000000" w:usb3="00000000" w:csb0="00040000" w:csb1="00000000"/>
    <w:embedRegular r:id="rId11" w:fontKey="{EAC00833-BEED-47DE-8D5C-58D20ED7096B}"/>
  </w:font>
  <w:font w:name="方正楷体_GB2312">
    <w:altName w:val="宋体"/>
    <w:panose1 w:val="02000000000000000000"/>
    <w:charset w:val="FFFFFF86"/>
    <w:family w:val="auto"/>
    <w:pitch w:val="default"/>
    <w:sig w:usb0="A00002BF" w:usb1="184F6CFA" w:usb2="00000012" w:usb3="00000000" w:csb0="00040001" w:csb1="00000000"/>
    <w:embedRegular r:id="rId12" w:fontKey="{0A03BAC4-11BA-48DB-8F10-0278B4917DD5}"/>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3" w:subsetted="1" w:fontKey="{F80B87D4-7676-4533-A643-BCCD9A7A5310}"/>
    <w:embedBold r:id="rId14" w:subsetted="1" w:fontKey="{F1B2EE86-B999-42DA-8DF5-D251B66618D5}"/>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6</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22</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32</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14" Type="http://schemas.openxmlformats.org/officeDocument/2006/relationships/font" Target="fonts/font13.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35</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